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85" w:rsidRDefault="00E91185" w:rsidP="00E91185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上海市公用民防工程（含退出序列民防工程）</w:t>
      </w:r>
    </w:p>
    <w:p w:rsidR="00E91185" w:rsidRDefault="00E91185" w:rsidP="00E91185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使用负面清单（2021年版）说明</w:t>
      </w:r>
    </w:p>
    <w:p w:rsidR="00E91185" w:rsidRDefault="00E91185" w:rsidP="00E91185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</w:p>
    <w:p w:rsidR="00E91185" w:rsidRDefault="00E91185" w:rsidP="00E91185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为更好服务社会经济发展，充分发挥民防工程平时使用功能，依据《中华人民共和国人民防空法》、《上海市民防条例》、《上海市民防工程建设和使用管理办法》、《</w:t>
      </w:r>
      <w:r>
        <w:rPr>
          <w:rFonts w:ascii="仿宋_GB2312" w:eastAsia="仿宋_GB2312" w:hAnsi="仿宋_GB2312" w:cs="仿宋_GB2312" w:hint="eastAsia"/>
          <w:sz w:val="30"/>
          <w:szCs w:val="30"/>
        </w:rPr>
        <w:t>上海市地下空间安全使用管理办法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》、《上海市民防工程维护管理技术规定》等法律法规及标准规范，制定《上海市公用民防工程（含退出序列民防工程）使用负面清单（2021年版）》（以下简称《负面清单》）。</w:t>
      </w:r>
    </w:p>
    <w:p w:rsidR="00E91185" w:rsidRDefault="00E91185" w:rsidP="00E91185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一、《负面清单》适用于本市登记在册的公用民防工程（含退出序列民防工程）的平时使用。</w:t>
      </w:r>
    </w:p>
    <w:p w:rsidR="00E91185" w:rsidRDefault="00E91185" w:rsidP="00E91185">
      <w:pPr>
        <w:widowControl/>
        <w:spacing w:line="600" w:lineRule="exact"/>
        <w:ind w:firstLineChars="209" w:firstLine="627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二、公用民防工程（含退出序列民防工程）在交付平时使用前，使用申请人需对照《负面清单》对拟</w:t>
      </w: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使用业态进行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自查排除。市、区主管部门在签订租赁合同时须依据《负面清单》予以审查排除，并加强监督管理。</w:t>
      </w:r>
    </w:p>
    <w:p w:rsidR="00E91185" w:rsidRDefault="00E91185" w:rsidP="00E91185">
      <w:pPr>
        <w:widowControl/>
        <w:spacing w:line="600" w:lineRule="exact"/>
        <w:ind w:firstLineChars="209" w:firstLine="627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三、公用民防工程（含退出序列民防工程）租赁合同约定：在使用中，如实际</w:t>
      </w: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使用业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态与原申请不一致或需要变更的，需经得民防主管部门同意，并重新签订租赁合同，否则，主管部门有权利解除合同。</w:t>
      </w:r>
    </w:p>
    <w:p w:rsidR="00E91185" w:rsidRDefault="00E91185" w:rsidP="00E91185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四、《负面清单》中未列入事项，以国家、本市法律法规和相关行业管理禁止性规定为准。</w:t>
      </w:r>
    </w:p>
    <w:p w:rsidR="00E91185" w:rsidRDefault="00E91185" w:rsidP="00E91185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五、《负面清单》将根据相关法律法规和本市建设管理实际情况，适时修订发布。</w:t>
      </w:r>
    </w:p>
    <w:p w:rsidR="00E91185" w:rsidRDefault="00E91185" w:rsidP="00E91185">
      <w:pPr>
        <w:ind w:firstLineChars="200" w:firstLine="600"/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lastRenderedPageBreak/>
        <w:t>六、《负面清单》由上海市民防办公室会同有关部门负责解释。</w:t>
      </w:r>
    </w:p>
    <w:p w:rsidR="00F84D7F" w:rsidRPr="00E91185" w:rsidRDefault="00E91185"/>
    <w:sectPr w:rsidR="00F84D7F" w:rsidRPr="00E91185" w:rsidSect="0036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185"/>
    <w:rsid w:val="003617E4"/>
    <w:rsid w:val="00B7341C"/>
    <w:rsid w:val="00E91185"/>
    <w:rsid w:val="00F8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1</cp:revision>
  <dcterms:created xsi:type="dcterms:W3CDTF">2021-11-15T03:22:00Z</dcterms:created>
  <dcterms:modified xsi:type="dcterms:W3CDTF">2021-11-15T03:22:00Z</dcterms:modified>
</cp:coreProperties>
</file>