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p>
    <w:p>
      <w:pPr>
        <w:jc w:val="center"/>
        <w:rPr>
          <w:rFonts w:ascii="方正小标宋简体" w:eastAsia="方正小标宋简体"/>
          <w:sz w:val="36"/>
          <w:szCs w:val="36"/>
        </w:rPr>
      </w:pPr>
    </w:p>
    <w:p>
      <w:pPr>
        <w:adjustRightInd w:val="0"/>
        <w:snapToGrid w:val="0"/>
        <w:spacing w:line="520" w:lineRule="exact"/>
        <w:jc w:val="center"/>
        <w:rPr>
          <w:rFonts w:ascii="方正小标宋简体" w:eastAsia="方正小标宋简体"/>
          <w:sz w:val="36"/>
          <w:szCs w:val="36"/>
        </w:rPr>
      </w:pPr>
      <w:r>
        <w:rPr>
          <w:rFonts w:hint="eastAsia" w:ascii="方正小标宋简体" w:eastAsia="方正小标宋简体"/>
          <w:sz w:val="36"/>
          <w:szCs w:val="36"/>
        </w:rPr>
        <w:t>关于</w:t>
      </w:r>
      <w:bookmarkStart w:id="0" w:name="_Hlk129811041"/>
      <w:r>
        <w:rPr>
          <w:rFonts w:hint="eastAsia" w:ascii="方正小标宋简体" w:eastAsia="方正小标宋简体"/>
          <w:sz w:val="36"/>
          <w:szCs w:val="36"/>
        </w:rPr>
        <w:t>深化推广国防动员宣传教育“六进”示范品牌</w:t>
      </w:r>
    </w:p>
    <w:p>
      <w:pPr>
        <w:adjustRightInd w:val="0"/>
        <w:snapToGrid w:val="0"/>
        <w:spacing w:line="520" w:lineRule="exact"/>
        <w:jc w:val="center"/>
        <w:rPr>
          <w:rFonts w:ascii="方正小标宋简体" w:eastAsia="方正小标宋简体"/>
          <w:sz w:val="36"/>
          <w:szCs w:val="36"/>
        </w:rPr>
      </w:pPr>
      <w:r>
        <w:rPr>
          <w:rFonts w:hint="eastAsia" w:ascii="方正小标宋简体" w:eastAsia="方正小标宋简体"/>
          <w:sz w:val="36"/>
          <w:szCs w:val="36"/>
        </w:rPr>
        <w:t>试点成果</w:t>
      </w:r>
      <w:bookmarkEnd w:id="0"/>
      <w:r>
        <w:rPr>
          <w:rFonts w:hint="eastAsia" w:ascii="方正小标宋简体" w:eastAsia="方正小标宋简体"/>
          <w:sz w:val="36"/>
          <w:szCs w:val="36"/>
        </w:rPr>
        <w:t>的指导意见</w:t>
      </w:r>
    </w:p>
    <w:p>
      <w:pPr>
        <w:adjustRightInd w:val="0"/>
        <w:snapToGrid w:val="0"/>
        <w:spacing w:line="520" w:lineRule="exact"/>
      </w:pPr>
      <w:r>
        <w:rPr>
          <w:rFonts w:hint="eastAsia"/>
        </w:rPr>
        <w:t xml:space="preserve"> </w:t>
      </w:r>
      <w:r>
        <w:t xml:space="preserve">   </w:t>
      </w:r>
    </w:p>
    <w:p>
      <w:pPr>
        <w:adjustRightInd w:val="0"/>
        <w:snapToGrid w:val="0"/>
        <w:spacing w:line="520" w:lineRule="exact"/>
        <w:ind w:firstLine="600" w:firstLineChars="200"/>
        <w:rPr>
          <w:rFonts w:ascii="仿宋_GB2312" w:eastAsia="仿宋_GB2312"/>
          <w:sz w:val="30"/>
          <w:szCs w:val="30"/>
        </w:rPr>
      </w:pPr>
      <w:r>
        <w:rPr>
          <w:rFonts w:hint="eastAsia" w:ascii="仿宋_GB2312" w:eastAsia="仿宋_GB2312"/>
          <w:sz w:val="30"/>
          <w:szCs w:val="30"/>
        </w:rPr>
        <w:t>国防动员宣传教育是国防教育的重要组成部分，是弘扬爱国主义精神、增强全民国防意识的有效途径。2022年我办在总结近年来宣传教育经验做法的基础上，开展了民防宣传教育“进党校”、“进机关”、“进高校”、“进企业”、“进社区”、“进网络”示范品牌创建活动，取得了良好成效。为能进一步将试点成果在全市推广应用、转化为提升全市国防动员宣传教育工作的策源动力，现就深化推广国防动员宣传教育“六进”示范品牌试点成果工作提出以下意见：</w:t>
      </w:r>
    </w:p>
    <w:p>
      <w:pPr>
        <w:pStyle w:val="8"/>
        <w:adjustRightInd w:val="0"/>
        <w:snapToGrid w:val="0"/>
        <w:spacing w:line="520" w:lineRule="exact"/>
        <w:ind w:firstLine="6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一、指导思想</w:t>
      </w:r>
    </w:p>
    <w:p>
      <w:pPr>
        <w:adjustRightInd w:val="0"/>
        <w:snapToGrid w:val="0"/>
        <w:spacing w:line="520" w:lineRule="exact"/>
        <w:ind w:firstLine="600" w:firstLineChars="200"/>
        <w:rPr>
          <w:rFonts w:ascii="仿宋_GB2312" w:eastAsia="仿宋_GB2312"/>
          <w:sz w:val="30"/>
          <w:szCs w:val="30"/>
        </w:rPr>
      </w:pPr>
      <w:r>
        <w:rPr>
          <w:rFonts w:hint="eastAsia" w:ascii="仿宋_GB2312" w:eastAsia="仿宋_GB2312"/>
          <w:sz w:val="30"/>
          <w:szCs w:val="30"/>
        </w:rPr>
        <w:t>以习近平新时代中国特色社会主义思想为指导，深入贯彻习近平强军思想、考察上海重要讲话精神以及对国防动员、人民防空工作的重要指示，按照中共中央、国务院、中央军委印发的《关于加强和改进新时代全民国防教育工作的意见》的要求，结合国防动员、人防防空宣传教育实际，提升本市国防动员、人民防空宣传教育的传播力、引导力和影响力，增强全民国防意识、战备意识与防护技能，强化新时代国防动员援战保胜能力。</w:t>
      </w:r>
    </w:p>
    <w:p>
      <w:pPr>
        <w:pStyle w:val="8"/>
        <w:adjustRightInd w:val="0"/>
        <w:snapToGrid w:val="0"/>
        <w:spacing w:line="520" w:lineRule="exact"/>
        <w:ind w:firstLine="6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二、工作目标</w:t>
      </w:r>
    </w:p>
    <w:p>
      <w:pPr>
        <w:adjustRightInd w:val="0"/>
        <w:snapToGrid w:val="0"/>
        <w:spacing w:line="520" w:lineRule="exact"/>
        <w:ind w:firstLine="600" w:firstLineChars="200"/>
        <w:rPr>
          <w:rFonts w:ascii="仿宋_GB2312" w:eastAsia="仿宋_GB2312"/>
          <w:sz w:val="30"/>
          <w:szCs w:val="30"/>
        </w:rPr>
      </w:pPr>
      <w:r>
        <w:rPr>
          <w:rFonts w:hint="eastAsia" w:ascii="仿宋_GB2312" w:eastAsia="仿宋_GB2312"/>
          <w:sz w:val="30"/>
          <w:szCs w:val="30"/>
        </w:rPr>
        <w:t>（一）健全体系、全面推广。要在原民防宣传教育“六进”工作的基础上，根据本指导意见，充实宣教内容、优化宣教手段、健全体系架构，将“六进”示范品牌试点成果在本市全面推广应用。</w:t>
      </w:r>
    </w:p>
    <w:p>
      <w:pPr>
        <w:adjustRightInd w:val="0"/>
        <w:snapToGrid w:val="0"/>
        <w:spacing w:line="520" w:lineRule="exact"/>
        <w:ind w:firstLine="600" w:firstLineChars="200"/>
        <w:rPr>
          <w:rFonts w:ascii="仿宋_GB2312" w:eastAsia="仿宋_GB2312"/>
          <w:sz w:val="30"/>
          <w:szCs w:val="30"/>
        </w:rPr>
      </w:pPr>
      <w:r>
        <w:rPr>
          <w:rFonts w:hint="eastAsia" w:ascii="仿宋_GB2312" w:eastAsia="仿宋_GB2312"/>
          <w:sz w:val="30"/>
          <w:szCs w:val="30"/>
        </w:rPr>
        <w:t>（二）紧贴群众、注重实效。要通过推广应用工作，向公众积极宣传国防动员、人民防空的指导思想、使命任务、基础知识、基本技能、有关要求等，增强公众国防意识、强国强军责任担当，助推提升社会动员能力。</w:t>
      </w:r>
    </w:p>
    <w:p>
      <w:pPr>
        <w:adjustRightInd w:val="0"/>
        <w:snapToGrid w:val="0"/>
        <w:spacing w:line="520" w:lineRule="exact"/>
        <w:ind w:firstLine="600" w:firstLineChars="200"/>
        <w:rPr>
          <w:rFonts w:ascii="仿宋_GB2312" w:eastAsia="仿宋_GB2312"/>
          <w:sz w:val="30"/>
          <w:szCs w:val="30"/>
        </w:rPr>
      </w:pPr>
      <w:r>
        <w:rPr>
          <w:rFonts w:hint="eastAsia" w:ascii="仿宋_GB2312" w:eastAsia="仿宋_GB2312"/>
          <w:sz w:val="30"/>
          <w:szCs w:val="30"/>
        </w:rPr>
        <w:t>（三）创新方式、提升质量。要创新宣传教育理念，积极运用各类新型宣传教育手段、方式与载体，针对不同人群、不同单位、不同场合等采取有针对性的方法与措施，有声有色、绘声绘色，提升宣传教育质量。</w:t>
      </w:r>
    </w:p>
    <w:p>
      <w:pPr>
        <w:pStyle w:val="8"/>
        <w:adjustRightInd w:val="0"/>
        <w:snapToGrid w:val="0"/>
        <w:spacing w:line="520" w:lineRule="exact"/>
        <w:ind w:firstLine="6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三、工作要点</w:t>
      </w:r>
    </w:p>
    <w:p>
      <w:pPr>
        <w:adjustRightInd w:val="0"/>
        <w:snapToGrid w:val="0"/>
        <w:spacing w:line="520" w:lineRule="exact"/>
        <w:ind w:firstLine="600" w:firstLineChars="200"/>
        <w:rPr>
          <w:rFonts w:ascii="仿宋_GB2312" w:eastAsia="仿宋_GB2312"/>
          <w:sz w:val="30"/>
          <w:szCs w:val="30"/>
        </w:rPr>
      </w:pPr>
      <w:r>
        <w:rPr>
          <w:rFonts w:hint="eastAsia" w:ascii="仿宋_GB2312" w:eastAsia="仿宋_GB2312"/>
          <w:sz w:val="30"/>
          <w:szCs w:val="30"/>
        </w:rPr>
        <w:t>（一）进党校：建立与党校沟通联系机制，签订共建协议建立长效机制。根据党校培训要求和学员特点，开设国防动员相关课程，纳入党校培训计划。开设的课程以习近平强军思想、总体国家安全观、对国防动员及人民防空工作的重要指示为指引，充分保证课程的理论性，兼具实践性、可实操性等，确保课程质量。积极动员组织党校学员、社区党校“两新”党员等对象参观民防科普教育基地。做到“书上架、图上墙、片进屏、课进班、人进馆”，营造浓厚的宣传教育氛围。在“全民国防教育日”等重要节点，在党校开展集中宣传活动。有条件的，将党校内或临近党校的公用人防工程作为宣传阵地及服务学员的公益场所。将“进党校”工作引入社区基层，组织动员居民区党员干部和社区人防志愿者参与国防动员宣教工作，进一步夯实群众基础。</w:t>
      </w:r>
    </w:p>
    <w:p>
      <w:pPr>
        <w:adjustRightInd w:val="0"/>
        <w:snapToGrid w:val="0"/>
        <w:spacing w:line="520" w:lineRule="exact"/>
        <w:ind w:firstLine="600" w:firstLineChars="200"/>
        <w:rPr>
          <w:rFonts w:ascii="仿宋_GB2312" w:eastAsia="仿宋_GB2312"/>
          <w:sz w:val="30"/>
          <w:szCs w:val="30"/>
        </w:rPr>
      </w:pPr>
      <w:r>
        <w:rPr>
          <w:rFonts w:hint="eastAsia" w:ascii="仿宋_GB2312" w:eastAsia="仿宋_GB2312"/>
          <w:sz w:val="30"/>
          <w:szCs w:val="30"/>
        </w:rPr>
        <w:t>（二）进机关：要加强与宣传部、机关党工委的沟通协调，形成常态化的“进机关”运行机制。根据新时代全民国防教育的要求，持续强化对领导干部的国防教育，将国防动员、人民防空宣教内容纳入党委（党组）理论学习中心组国防教育专题学习、干部国防教育培训内容，以及公务员经常性培训等，融入机关党建、法制、安全等宣教活动。采用“线上+线下”、“传统+现代”、“实训+演练”等模式，结合各级机关国防动员的工作任务与要求，形成系统完整的宣传链、教育链。在机关张贴海报、设置展板，播出宣教片等。利用各级融媒体平台，推送宣教图文、视频和课件等。组织机关干部参观民防科普教育基地，开展政府机关疏散演练活动，将防护技能教育贯穿其中。</w:t>
      </w:r>
    </w:p>
    <w:p>
      <w:pPr>
        <w:adjustRightInd w:val="0"/>
        <w:snapToGrid w:val="0"/>
        <w:spacing w:line="520" w:lineRule="exact"/>
        <w:ind w:firstLine="600" w:firstLineChars="200"/>
        <w:rPr>
          <w:rFonts w:ascii="仿宋_GB2312" w:eastAsia="仿宋_GB2312"/>
          <w:sz w:val="30"/>
          <w:szCs w:val="30"/>
        </w:rPr>
      </w:pPr>
      <w:r>
        <w:rPr>
          <w:rFonts w:hint="eastAsia" w:ascii="仿宋_GB2312" w:eastAsia="仿宋_GB2312"/>
          <w:sz w:val="30"/>
          <w:szCs w:val="30"/>
        </w:rPr>
        <w:t>（三）进高校：在高校建立工作机制与工作队伍，确保工作渠道畅通、责任到人、落实到位。按照《关于进一步加强上海市学校民防知识教育工作的实施意见》（沪民防〔2021〕39号），结合《普通高等学校军事课教学大纲》等，将国防动员、人民防空宣教内容融入新生军训、军事课教学、全民国防教育、防空警报试鸣或校内其他活动，确保课程与课时的落实。利用高校校园网、微信公众号、视频号等网络平台和校园电子显示屏、宣传橱窗及时发布宣传教育内容，普及国防动员和人民防空知识。结合“全民国防教育日”等重要节点和法治、消防、急救、公共安全等主题宣传时机，开展集中宣传、知识竞赛、科普参观、展板展示、疏散演练等活动。根据战时人民防空行动需要，结合高校人员、场地、保障等实际情况，编制高校人民防空紧急疏散行动方案，并适时进行演练。</w:t>
      </w:r>
    </w:p>
    <w:p>
      <w:pPr>
        <w:adjustRightInd w:val="0"/>
        <w:snapToGrid w:val="0"/>
        <w:spacing w:line="520" w:lineRule="exact"/>
        <w:ind w:firstLine="600" w:firstLineChars="200"/>
        <w:rPr>
          <w:rFonts w:ascii="仿宋_GB2312" w:eastAsia="仿宋_GB2312"/>
          <w:sz w:val="30"/>
          <w:szCs w:val="30"/>
        </w:rPr>
      </w:pPr>
      <w:r>
        <w:rPr>
          <w:rFonts w:hint="eastAsia" w:ascii="仿宋_GB2312" w:eastAsia="仿宋_GB2312"/>
          <w:sz w:val="30"/>
          <w:szCs w:val="30"/>
        </w:rPr>
        <w:t>（四）进企业：与企业（园区）建立工作机制，指导企业（园区）依托人民武装、安全生产或应急管理部门成立工作小组，确保有专人负责。同时建立健全国防动员宣传教育工作在企业（园区）与安全生产、应急管理协作和联动的长效机制。健全完善一套紧贴实际、行之有效的企业（园区）防空疏散演练方案。利用 “全民国防教育日”、“全国防灾减灾日”、“全国消防日”等重要时间节点，结合企业（园区）的风险防控、隐患整治、安全生产等工作，组织相关人员，因地制宜开展人防疏散演练。将国防动员宣传教育工作纳入企业日常管理和宣传教育体系。在企业（园区）设置宣教阵地，为企业（园区）配置宣传资料，利用企业（园区）公共屏幕播放宣教视频。在“全民国防教育日”等开展形式多样、简洁高效的集中宣教活动。</w:t>
      </w:r>
    </w:p>
    <w:p>
      <w:pPr>
        <w:adjustRightInd w:val="0"/>
        <w:snapToGrid w:val="0"/>
        <w:spacing w:line="520" w:lineRule="exact"/>
        <w:ind w:firstLine="600" w:firstLineChars="200"/>
        <w:rPr>
          <w:rFonts w:ascii="仿宋_GB2312" w:eastAsia="仿宋_GB2312"/>
          <w:sz w:val="30"/>
          <w:szCs w:val="30"/>
        </w:rPr>
      </w:pPr>
      <w:r>
        <w:rPr>
          <w:rFonts w:hint="eastAsia" w:ascii="仿宋_GB2312" w:eastAsia="仿宋_GB2312"/>
          <w:sz w:val="30"/>
          <w:szCs w:val="30"/>
        </w:rPr>
        <w:t>（五）进社区：以居民区为建设点，根据场地场所情况，建设“故事长廊”、“微展馆”、“体验角”等特色板块的固定阵地，打造多样性立体展示的微型阵地。建立由居委、物业、社区志愿者组成的宣教队伍，对居民开展切合需求的培训。充分利用各方资源，开展简便易学的互动体验，通过组织警报试听、心肺复苏、止血包扎、打逃生绳结、穿戴防毒面具、使用消防灭火器等自救互救训练，使居民群众在互动体验中，学到知识、获得技能。结合居民区实际，修订完善防空袭方案，组织培训和演练，使组织人员和参与人员熟悉预案的行动程序，了解各自任务，具备完成指定任务所需的响应能力。</w:t>
      </w:r>
    </w:p>
    <w:p>
      <w:pPr>
        <w:adjustRightInd w:val="0"/>
        <w:snapToGrid w:val="0"/>
        <w:spacing w:line="520" w:lineRule="exact"/>
        <w:ind w:firstLine="600" w:firstLineChars="200"/>
        <w:rPr>
          <w:rFonts w:ascii="仿宋_GB2312" w:eastAsia="仿宋_GB2312"/>
          <w:sz w:val="30"/>
          <w:szCs w:val="30"/>
        </w:rPr>
      </w:pPr>
      <w:r>
        <w:rPr>
          <w:rFonts w:hint="eastAsia" w:ascii="仿宋_GB2312" w:eastAsia="仿宋_GB2312"/>
          <w:sz w:val="30"/>
          <w:szCs w:val="30"/>
        </w:rPr>
        <w:t>（六）进网络：依托网络平台，广泛开展国防动员宣教工作，提升公众知晓度、宣传覆盖面、社会影响力。加强</w:t>
      </w:r>
      <w:r>
        <w:rPr>
          <w:rFonts w:hint="eastAsia" w:ascii="仿宋_GB2312" w:eastAsia="仿宋_GB2312"/>
          <w:sz w:val="30"/>
          <w:szCs w:val="30"/>
          <w:lang w:val="zh-CN"/>
        </w:rPr>
        <w:t>与融媒体中心、电视台、新媒体、优秀自媒体等的合作，多层次、多平台广泛开展国防动员、人民防空宣传教育</w:t>
      </w:r>
      <w:r>
        <w:rPr>
          <w:rFonts w:hint="eastAsia" w:ascii="仿宋_GB2312" w:eastAsia="仿宋_GB2312"/>
          <w:sz w:val="30"/>
          <w:szCs w:val="30"/>
        </w:rPr>
        <w:t>。积极搭建以官方网站、微信公众号、微博、视频号等为宣传主阵地的网络宣传平台，并根据自身实际制作海报、形象宣传片、科普短视频、音频宣传片、小游戏等各种形式的网络宣传产品。在“全民国防教育日”等重要节点增强宣传密度与力度，形成“线上+线下”的联动叠加效应。市国防动员宣教部门要加强渠道、产品侧的供给服务，为区、街镇国防动员部门提供优质的宣教渠道与产品，形成上下联动、优势互补、协同推进的良好工作机制。</w:t>
      </w:r>
    </w:p>
    <w:p>
      <w:pPr>
        <w:pStyle w:val="8"/>
        <w:adjustRightInd w:val="0"/>
        <w:snapToGrid w:val="0"/>
        <w:spacing w:line="520" w:lineRule="exact"/>
        <w:ind w:firstLine="602"/>
        <w:rPr>
          <w:rFonts w:ascii="仿宋_GB2312" w:eastAsia="仿宋_GB2312"/>
          <w:b/>
          <w:bCs/>
          <w:sz w:val="30"/>
          <w:szCs w:val="30"/>
        </w:rPr>
      </w:pPr>
      <w:r>
        <w:rPr>
          <w:rFonts w:hint="eastAsia" w:ascii="仿宋_GB2312" w:eastAsia="仿宋_GB2312"/>
          <w:b/>
          <w:bCs/>
          <w:sz w:val="30"/>
          <w:szCs w:val="30"/>
        </w:rPr>
        <w:t>四、有关要求</w:t>
      </w:r>
    </w:p>
    <w:p>
      <w:pPr>
        <w:adjustRightInd w:val="0"/>
        <w:snapToGrid w:val="0"/>
        <w:spacing w:line="520" w:lineRule="exact"/>
        <w:ind w:firstLine="600" w:firstLineChars="200"/>
        <w:rPr>
          <w:rFonts w:ascii="仿宋_GB2312" w:eastAsia="仿宋_GB2312"/>
          <w:sz w:val="30"/>
          <w:szCs w:val="30"/>
        </w:rPr>
      </w:pPr>
      <w:r>
        <w:rPr>
          <w:rFonts w:hint="eastAsia" w:ascii="仿宋_GB2312" w:eastAsia="仿宋_GB2312"/>
          <w:sz w:val="30"/>
          <w:szCs w:val="30"/>
        </w:rPr>
        <w:t>（一）加强组织领导。各区国防动员办公室主要负责人要高度重视本项工作，将此作为落实党的二十大精神的重要举措，列入单位年度重点工作，专题研究、专项部署、分解任务、细化指标、加强保障、督导落实。</w:t>
      </w:r>
    </w:p>
    <w:p>
      <w:pPr>
        <w:adjustRightInd w:val="0"/>
        <w:snapToGrid w:val="0"/>
        <w:spacing w:line="520" w:lineRule="exact"/>
        <w:ind w:firstLine="600" w:firstLineChars="200"/>
        <w:rPr>
          <w:rFonts w:ascii="仿宋_GB2312" w:eastAsia="仿宋_GB2312"/>
          <w:sz w:val="30"/>
          <w:szCs w:val="30"/>
        </w:rPr>
      </w:pPr>
      <w:r>
        <w:rPr>
          <w:rFonts w:hint="eastAsia" w:ascii="仿宋_GB2312" w:eastAsia="仿宋_GB2312"/>
          <w:sz w:val="30"/>
          <w:szCs w:val="30"/>
        </w:rPr>
        <w:t>（二）拓展区域特色。各区要充分发挥区位优势、贴近自身实际、调动各方资源，加强上下联动与部门协调，积极创新宣传方式，拓展区域特色与亮点，把“创建的品牌提升为名牌”。</w:t>
      </w:r>
    </w:p>
    <w:p>
      <w:pPr>
        <w:adjustRightInd w:val="0"/>
        <w:snapToGrid w:val="0"/>
        <w:spacing w:line="520" w:lineRule="exact"/>
        <w:ind w:firstLine="600" w:firstLineChars="200"/>
        <w:rPr>
          <w:rFonts w:ascii="仿宋_GB2312" w:eastAsia="仿宋_GB2312"/>
          <w:sz w:val="30"/>
          <w:szCs w:val="30"/>
        </w:rPr>
      </w:pPr>
      <w:r>
        <w:rPr>
          <w:rFonts w:hint="eastAsia" w:ascii="仿宋_GB2312" w:eastAsia="仿宋_GB2312"/>
          <w:sz w:val="30"/>
          <w:szCs w:val="30"/>
        </w:rPr>
        <w:t>（三）建立长效机制。要善于经验总结，把深化推广的做法及时固化，将成果制度化、标准化、规范化、常态化。评估检验实施效果，不断完善和优化，建立可持续提升的长效机制。</w:t>
      </w:r>
    </w:p>
    <w:p>
      <w:pPr>
        <w:adjustRightInd w:val="0"/>
        <w:snapToGrid w:val="0"/>
        <w:spacing w:line="520" w:lineRule="exact"/>
        <w:ind w:firstLine="600" w:firstLineChars="200"/>
        <w:rPr>
          <w:rFonts w:ascii="仿宋_GB2312" w:eastAsia="仿宋_GB2312"/>
          <w:sz w:val="30"/>
          <w:szCs w:val="30"/>
        </w:rPr>
      </w:pPr>
      <w:r>
        <w:rPr>
          <w:rFonts w:hint="eastAsia" w:ascii="仿宋_GB2312" w:eastAsia="仿宋_GB2312"/>
          <w:sz w:val="30"/>
          <w:szCs w:val="30"/>
        </w:rPr>
        <w:t>（四）做好资金保障。对本项工作要落实专项资金，所需费用纳入年度预算，合理调配、科学使用、提升绩效，为工作顺利推进做好基础保障。</w:t>
      </w:r>
    </w:p>
    <w:p>
      <w:pPr>
        <w:adjustRightInd w:val="0"/>
        <w:snapToGrid w:val="0"/>
        <w:spacing w:line="520" w:lineRule="exact"/>
        <w:ind w:firstLine="600" w:firstLineChars="200"/>
        <w:rPr>
          <w:rFonts w:ascii="仿宋_GB2312" w:eastAsia="仿宋_GB2312"/>
          <w:sz w:val="30"/>
          <w:szCs w:val="30"/>
        </w:rPr>
      </w:pPr>
      <w:r>
        <w:rPr>
          <w:rFonts w:hint="eastAsia" w:ascii="仿宋_GB2312" w:eastAsia="仿宋_GB2312"/>
          <w:sz w:val="30"/>
          <w:szCs w:val="30"/>
        </w:rPr>
        <w:t>附件：民防宣教“六进”示范品牌</w:t>
      </w:r>
      <w:r>
        <w:rPr>
          <w:rFonts w:hint="eastAsia" w:ascii="仿宋_GB2312" w:eastAsia="仿宋_GB2312"/>
          <w:sz w:val="30"/>
          <w:szCs w:val="30"/>
          <w:lang w:eastAsia="zh-CN"/>
        </w:rPr>
        <w:t>创建</w:t>
      </w:r>
      <w:bookmarkStart w:id="1" w:name="_GoBack"/>
      <w:bookmarkEnd w:id="1"/>
      <w:r>
        <w:rPr>
          <w:rFonts w:hint="eastAsia" w:ascii="仿宋_GB2312" w:eastAsia="仿宋_GB2312"/>
          <w:sz w:val="30"/>
          <w:szCs w:val="30"/>
        </w:rPr>
        <w:t>成果汇编。</w:t>
      </w:r>
    </w:p>
    <w:p>
      <w:pPr>
        <w:adjustRightInd w:val="0"/>
        <w:snapToGrid w:val="0"/>
        <w:spacing w:line="520" w:lineRule="exact"/>
        <w:ind w:firstLine="600" w:firstLineChars="200"/>
        <w:rPr>
          <w:rFonts w:ascii="仿宋_GB2312" w:eastAsia="仿宋_GB2312"/>
          <w:sz w:val="30"/>
          <w:szCs w:val="30"/>
        </w:rPr>
      </w:pPr>
    </w:p>
    <w:p>
      <w:pPr>
        <w:adjustRightInd w:val="0"/>
        <w:snapToGrid w:val="0"/>
        <w:spacing w:line="520" w:lineRule="exact"/>
        <w:ind w:firstLine="600" w:firstLineChars="200"/>
        <w:rPr>
          <w:rFonts w:ascii="仿宋_GB2312" w:eastAsia="仿宋_GB2312"/>
          <w:sz w:val="30"/>
          <w:szCs w:val="30"/>
        </w:rPr>
      </w:pPr>
    </w:p>
    <w:p>
      <w:pPr>
        <w:adjustRightInd w:val="0"/>
        <w:snapToGrid w:val="0"/>
        <w:spacing w:line="520" w:lineRule="exact"/>
        <w:ind w:firstLine="600" w:firstLineChars="200"/>
        <w:rPr>
          <w:rFonts w:ascii="仿宋_GB2312" w:eastAsia="仿宋_GB2312"/>
          <w:sz w:val="30"/>
          <w:szCs w:val="30"/>
        </w:rPr>
      </w:pPr>
    </w:p>
    <w:p>
      <w:pPr>
        <w:adjustRightInd w:val="0"/>
        <w:snapToGrid w:val="0"/>
        <w:spacing w:line="520" w:lineRule="exact"/>
        <w:ind w:firstLine="600" w:firstLineChars="200"/>
        <w:jc w:val="right"/>
        <w:rPr>
          <w:rFonts w:ascii="仿宋_GB2312" w:eastAsia="仿宋_GB2312"/>
          <w:sz w:val="30"/>
          <w:szCs w:val="30"/>
        </w:rPr>
      </w:pPr>
      <w:r>
        <w:rPr>
          <w:rFonts w:hint="eastAsia" w:ascii="仿宋_GB2312" w:eastAsia="仿宋_GB2312"/>
          <w:sz w:val="30"/>
          <w:szCs w:val="30"/>
        </w:rPr>
        <w:t>上海市国防动员办公室</w:t>
      </w:r>
    </w:p>
    <w:p>
      <w:pPr>
        <w:adjustRightInd w:val="0"/>
        <w:snapToGrid w:val="0"/>
        <w:spacing w:line="520" w:lineRule="exact"/>
        <w:ind w:right="300" w:firstLine="600" w:firstLineChars="200"/>
        <w:jc w:val="right"/>
        <w:rPr>
          <w:rFonts w:ascii="仿宋_GB2312" w:eastAsia="仿宋_GB2312"/>
          <w:sz w:val="30"/>
          <w:szCs w:val="30"/>
        </w:rPr>
      </w:pPr>
      <w:r>
        <w:rPr>
          <w:rFonts w:hint="eastAsia" w:ascii="仿宋_GB2312" w:eastAsia="仿宋_GB2312"/>
          <w:sz w:val="30"/>
          <w:szCs w:val="30"/>
        </w:rPr>
        <w:t>2023年</w:t>
      </w:r>
      <w:r>
        <w:rPr>
          <w:rFonts w:ascii="仿宋_GB2312" w:eastAsia="仿宋_GB2312"/>
          <w:sz w:val="30"/>
          <w:szCs w:val="30"/>
        </w:rPr>
        <w:t>4</w:t>
      </w:r>
      <w:r>
        <w:rPr>
          <w:rFonts w:hint="eastAsia" w:ascii="仿宋_GB2312" w:eastAsia="仿宋_GB2312"/>
          <w:sz w:val="30"/>
          <w:szCs w:val="30"/>
        </w:rPr>
        <w:t>月3日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w:altName w:val="汉仪中宋简"/>
    <w:panose1 w:val="00000000000000000000"/>
    <w:charset w:val="86"/>
    <w:family w:val="auto"/>
    <w:pitch w:val="default"/>
    <w:sig w:usb0="00000000" w:usb1="00000000" w:usb2="00000000" w:usb3="00000000" w:csb0="00000000" w:csb1="00000000"/>
  </w:font>
  <w:font w:name="等线">
    <w:altName w:val="Quicksand Light"/>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853"/>
    <w:rsid w:val="00047C7C"/>
    <w:rsid w:val="000527BF"/>
    <w:rsid w:val="00090C5F"/>
    <w:rsid w:val="000E6351"/>
    <w:rsid w:val="000F1757"/>
    <w:rsid w:val="00126327"/>
    <w:rsid w:val="00126DCB"/>
    <w:rsid w:val="00130057"/>
    <w:rsid w:val="00141485"/>
    <w:rsid w:val="00147822"/>
    <w:rsid w:val="001509A8"/>
    <w:rsid w:val="00153DDB"/>
    <w:rsid w:val="0016437B"/>
    <w:rsid w:val="001B5BE3"/>
    <w:rsid w:val="001B738E"/>
    <w:rsid w:val="001C6F70"/>
    <w:rsid w:val="00222E15"/>
    <w:rsid w:val="0022462C"/>
    <w:rsid w:val="0022473F"/>
    <w:rsid w:val="002315CC"/>
    <w:rsid w:val="00242462"/>
    <w:rsid w:val="00255D48"/>
    <w:rsid w:val="00264AB4"/>
    <w:rsid w:val="0028549E"/>
    <w:rsid w:val="002A0C56"/>
    <w:rsid w:val="002C1AED"/>
    <w:rsid w:val="002E0D50"/>
    <w:rsid w:val="002F386D"/>
    <w:rsid w:val="00303742"/>
    <w:rsid w:val="003174A2"/>
    <w:rsid w:val="003253E6"/>
    <w:rsid w:val="00334876"/>
    <w:rsid w:val="003553F1"/>
    <w:rsid w:val="003633BA"/>
    <w:rsid w:val="003B287B"/>
    <w:rsid w:val="003C7A28"/>
    <w:rsid w:val="003D7035"/>
    <w:rsid w:val="003E0A51"/>
    <w:rsid w:val="00421904"/>
    <w:rsid w:val="00427EAB"/>
    <w:rsid w:val="00461ECE"/>
    <w:rsid w:val="00465EF8"/>
    <w:rsid w:val="00483873"/>
    <w:rsid w:val="004941DB"/>
    <w:rsid w:val="004A146B"/>
    <w:rsid w:val="004A48FC"/>
    <w:rsid w:val="004B1A94"/>
    <w:rsid w:val="004C7451"/>
    <w:rsid w:val="004D4D67"/>
    <w:rsid w:val="00502657"/>
    <w:rsid w:val="00531C90"/>
    <w:rsid w:val="005368EC"/>
    <w:rsid w:val="00546871"/>
    <w:rsid w:val="005617EA"/>
    <w:rsid w:val="00582065"/>
    <w:rsid w:val="005A6AB5"/>
    <w:rsid w:val="0060019A"/>
    <w:rsid w:val="006266D3"/>
    <w:rsid w:val="006505E9"/>
    <w:rsid w:val="006636A4"/>
    <w:rsid w:val="00686463"/>
    <w:rsid w:val="00692963"/>
    <w:rsid w:val="006A2C6D"/>
    <w:rsid w:val="006C5E2E"/>
    <w:rsid w:val="006E4856"/>
    <w:rsid w:val="006E7861"/>
    <w:rsid w:val="00701853"/>
    <w:rsid w:val="007445E2"/>
    <w:rsid w:val="007511BB"/>
    <w:rsid w:val="00763EC5"/>
    <w:rsid w:val="0077589B"/>
    <w:rsid w:val="007F7B42"/>
    <w:rsid w:val="0080782C"/>
    <w:rsid w:val="00830CC7"/>
    <w:rsid w:val="008674F6"/>
    <w:rsid w:val="00872AD9"/>
    <w:rsid w:val="0087470F"/>
    <w:rsid w:val="008867BE"/>
    <w:rsid w:val="008C1A86"/>
    <w:rsid w:val="008C7288"/>
    <w:rsid w:val="008F3893"/>
    <w:rsid w:val="00901B32"/>
    <w:rsid w:val="00913ED1"/>
    <w:rsid w:val="00946FFF"/>
    <w:rsid w:val="0095782A"/>
    <w:rsid w:val="00975789"/>
    <w:rsid w:val="00982EB1"/>
    <w:rsid w:val="009865D9"/>
    <w:rsid w:val="00987BD6"/>
    <w:rsid w:val="0099146D"/>
    <w:rsid w:val="009B7C70"/>
    <w:rsid w:val="009C51A3"/>
    <w:rsid w:val="009D6835"/>
    <w:rsid w:val="009E133F"/>
    <w:rsid w:val="009E21F3"/>
    <w:rsid w:val="009E2B31"/>
    <w:rsid w:val="009E4864"/>
    <w:rsid w:val="00A3414F"/>
    <w:rsid w:val="00A60543"/>
    <w:rsid w:val="00A8202B"/>
    <w:rsid w:val="00AA38D4"/>
    <w:rsid w:val="00AB3556"/>
    <w:rsid w:val="00AE1E94"/>
    <w:rsid w:val="00AF1C89"/>
    <w:rsid w:val="00B16638"/>
    <w:rsid w:val="00B17378"/>
    <w:rsid w:val="00B223FA"/>
    <w:rsid w:val="00B2636D"/>
    <w:rsid w:val="00B613F0"/>
    <w:rsid w:val="00B61583"/>
    <w:rsid w:val="00B62EBD"/>
    <w:rsid w:val="00B84F6B"/>
    <w:rsid w:val="00BB21DD"/>
    <w:rsid w:val="00C115EC"/>
    <w:rsid w:val="00C41A9B"/>
    <w:rsid w:val="00C72246"/>
    <w:rsid w:val="00C969CF"/>
    <w:rsid w:val="00C97C6A"/>
    <w:rsid w:val="00CA0069"/>
    <w:rsid w:val="00CD318F"/>
    <w:rsid w:val="00CE2FC7"/>
    <w:rsid w:val="00CE3907"/>
    <w:rsid w:val="00D001BE"/>
    <w:rsid w:val="00D020F6"/>
    <w:rsid w:val="00D33270"/>
    <w:rsid w:val="00D438CA"/>
    <w:rsid w:val="00D4654A"/>
    <w:rsid w:val="00D478FF"/>
    <w:rsid w:val="00D56A63"/>
    <w:rsid w:val="00D61040"/>
    <w:rsid w:val="00DB283D"/>
    <w:rsid w:val="00DB4AC2"/>
    <w:rsid w:val="00DC54B3"/>
    <w:rsid w:val="00DC5CAE"/>
    <w:rsid w:val="00DF48F2"/>
    <w:rsid w:val="00E00F6F"/>
    <w:rsid w:val="00E07E11"/>
    <w:rsid w:val="00E30A7D"/>
    <w:rsid w:val="00E41185"/>
    <w:rsid w:val="00E80CC8"/>
    <w:rsid w:val="00E975CF"/>
    <w:rsid w:val="00EA4B1C"/>
    <w:rsid w:val="00EB26A8"/>
    <w:rsid w:val="00ED250C"/>
    <w:rsid w:val="00ED4E9B"/>
    <w:rsid w:val="00F04356"/>
    <w:rsid w:val="00F04E31"/>
    <w:rsid w:val="00F14107"/>
    <w:rsid w:val="00F349D6"/>
    <w:rsid w:val="00FB10FA"/>
    <w:rsid w:val="00FD56AF"/>
    <w:rsid w:val="00FF4F1B"/>
    <w:rsid w:val="15FE132A"/>
    <w:rsid w:val="1F65717D"/>
    <w:rsid w:val="3FF4D119"/>
    <w:rsid w:val="3FFDD780"/>
    <w:rsid w:val="3FFEA663"/>
    <w:rsid w:val="593DD82C"/>
    <w:rsid w:val="5FAFD3D4"/>
    <w:rsid w:val="66FF6957"/>
    <w:rsid w:val="69BF3F96"/>
    <w:rsid w:val="76A6569A"/>
    <w:rsid w:val="773FBE94"/>
    <w:rsid w:val="79F34A88"/>
    <w:rsid w:val="7C77E895"/>
    <w:rsid w:val="7DDF85F3"/>
    <w:rsid w:val="7FBFFA5A"/>
    <w:rsid w:val="7FF7C6EA"/>
    <w:rsid w:val="9F7FC846"/>
    <w:rsid w:val="ADB3BE0C"/>
    <w:rsid w:val="B5C7054D"/>
    <w:rsid w:val="BEFAD6EF"/>
    <w:rsid w:val="D38F54A6"/>
    <w:rsid w:val="DFDE1324"/>
    <w:rsid w:val="DFF6F259"/>
    <w:rsid w:val="E3F69DA1"/>
    <w:rsid w:val="F1FD4B09"/>
    <w:rsid w:val="F6F8C0D5"/>
    <w:rsid w:val="FB6B9D80"/>
    <w:rsid w:val="FBF25BC0"/>
    <w:rsid w:val="FC37EF2B"/>
    <w:rsid w:val="FCB6FDD2"/>
    <w:rsid w:val="FEBF7DA0"/>
    <w:rsid w:val="FEF446DD"/>
    <w:rsid w:val="FF7502C1"/>
    <w:rsid w:val="FF9FF499"/>
    <w:rsid w:val="FFAB3B45"/>
    <w:rsid w:val="FFBD3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445</Words>
  <Characters>2540</Characters>
  <Lines>21</Lines>
  <Paragraphs>5</Paragraphs>
  <TotalTime>91</TotalTime>
  <ScaleCrop>false</ScaleCrop>
  <LinksUpToDate>false</LinksUpToDate>
  <CharactersWithSpaces>2980</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2023-03-25T14:02:00Z</dcterms:created>
  <dc:creator>min shirna</dc:creator>
  <cp:lastModifiedBy>zzz</cp:lastModifiedBy>
  <cp:lastPrinted>2023-04-03T18:50:50Z</cp:lastPrinted>
  <dcterms:modified xsi:type="dcterms:W3CDTF">2023-04-03T18:51:11Z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24E8D3B4845CE3DE762A2664946B87AD</vt:lpwstr>
  </property>
</Properties>
</file>