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88" w:rsidRDefault="00452388" w:rsidP="00452388">
      <w:pPr>
        <w:widowControl/>
        <w:rPr>
          <w:rFonts w:ascii="黑体" w:eastAsia="黑体" w:hAnsi="黑体" w:cs="黑体" w:hint="eastAsia"/>
          <w:kern w:val="0"/>
          <w:sz w:val="32"/>
          <w:szCs w:val="32"/>
        </w:rPr>
      </w:pPr>
      <w:r>
        <w:rPr>
          <w:rFonts w:ascii="黑体" w:eastAsia="黑体" w:hAnsi="黑体" w:cs="黑体" w:hint="eastAsia"/>
          <w:kern w:val="0"/>
          <w:sz w:val="32"/>
          <w:szCs w:val="32"/>
        </w:rPr>
        <w:t>附件2</w:t>
      </w:r>
    </w:p>
    <w:p w:rsidR="00452388" w:rsidRDefault="00452388" w:rsidP="00452388">
      <w:pPr>
        <w:widowControl/>
        <w:spacing w:line="720" w:lineRule="exact"/>
        <w:jc w:val="center"/>
        <w:rPr>
          <w:rFonts w:ascii="方正小标宋简体" w:eastAsia="方正小标宋简体" w:hAnsi="华文中宋" w:hint="eastAsia"/>
          <w:sz w:val="44"/>
          <w:szCs w:val="44"/>
        </w:rPr>
      </w:pPr>
      <w:proofErr w:type="gramStart"/>
      <w:r>
        <w:rPr>
          <w:rFonts w:ascii="方正小标宋简体" w:eastAsia="方正小标宋简体" w:hAnsi="华文中宋" w:hint="eastAsia"/>
          <w:sz w:val="44"/>
          <w:szCs w:val="44"/>
        </w:rPr>
        <w:t>《</w:t>
      </w:r>
      <w:proofErr w:type="gramEnd"/>
      <w:r>
        <w:rPr>
          <w:rFonts w:ascii="方正小标宋简体" w:eastAsia="方正小标宋简体" w:hAnsi="华文中宋" w:hint="eastAsia"/>
          <w:sz w:val="44"/>
          <w:szCs w:val="44"/>
        </w:rPr>
        <w:t>上海市城市地下综合管廊</w:t>
      </w:r>
    </w:p>
    <w:p w:rsidR="00452388" w:rsidRDefault="00452388" w:rsidP="00452388">
      <w:pPr>
        <w:widowControl/>
        <w:spacing w:line="72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兼顾人民防空需要技术要求</w:t>
      </w:r>
      <w:proofErr w:type="gramStart"/>
      <w:r>
        <w:rPr>
          <w:rFonts w:ascii="方正小标宋简体" w:eastAsia="方正小标宋简体" w:hAnsi="华文中宋" w:hint="eastAsia"/>
          <w:sz w:val="44"/>
          <w:szCs w:val="44"/>
        </w:rPr>
        <w:t>》</w:t>
      </w:r>
      <w:proofErr w:type="gramEnd"/>
      <w:r>
        <w:rPr>
          <w:rFonts w:ascii="方正小标宋简体" w:eastAsia="方正小标宋简体" w:hAnsi="华文中宋" w:hint="eastAsia"/>
          <w:sz w:val="44"/>
          <w:szCs w:val="44"/>
        </w:rPr>
        <w:t>政策解读</w:t>
      </w:r>
    </w:p>
    <w:p w:rsidR="00452388" w:rsidRDefault="00452388" w:rsidP="00452388">
      <w:pPr>
        <w:rPr>
          <w:rFonts w:ascii="方正小标宋简体" w:eastAsia="方正小标宋简体" w:hAnsi="方正小标宋简体" w:cs="方正小标宋简体" w:hint="eastAsia"/>
          <w:bCs/>
          <w:w w:val="110"/>
          <w:sz w:val="32"/>
          <w:szCs w:val="32"/>
        </w:rPr>
      </w:pPr>
    </w:p>
    <w:p w:rsidR="00452388" w:rsidRDefault="00452388" w:rsidP="00452388">
      <w:pPr>
        <w:spacing w:line="60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一、制定目的</w:t>
      </w:r>
    </w:p>
    <w:p w:rsidR="00452388" w:rsidRDefault="00452388" w:rsidP="00452388">
      <w:pPr>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为提高上海市城市地下综合管廊工程战时的防护能力，规范上海市城市地下综合管廊工程兼顾人民防空需要的建设要求，使上海市城市地下综合管廊工程兼顾人民防空需要的设计做到安全、适用、经济、合理。</w:t>
      </w:r>
    </w:p>
    <w:p w:rsidR="00452388" w:rsidRDefault="00452388" w:rsidP="00452388">
      <w:pPr>
        <w:spacing w:line="600" w:lineRule="exact"/>
        <w:ind w:firstLineChars="200" w:firstLine="640"/>
        <w:rPr>
          <w:rFonts w:ascii="仿宋_GB2312" w:eastAsia="仿宋_GB2312" w:hAnsi="仿宋_GB2312" w:cs="仿宋_GB2312" w:hint="eastAsia"/>
          <w:kern w:val="0"/>
          <w:sz w:val="32"/>
          <w:szCs w:val="32"/>
        </w:rPr>
      </w:pPr>
      <w:r>
        <w:rPr>
          <w:rFonts w:ascii="黑体" w:eastAsia="黑体" w:hAnsi="黑体" w:cs="黑体" w:hint="eastAsia"/>
          <w:kern w:val="0"/>
          <w:sz w:val="32"/>
          <w:szCs w:val="32"/>
        </w:rPr>
        <w:t>二、制定依据</w:t>
      </w:r>
    </w:p>
    <w:p w:rsidR="00452388" w:rsidRDefault="00452388" w:rsidP="00452388">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1.《中华人民共和国人民防空法》（1996年10月29日第八届全国人民代表大会常务委员会第二十二次会议通过 根据2009年8月27日第十一届全国人民代表大会常务委员会第十次会议《关于修改部分法律的决定》修正）</w:t>
      </w:r>
    </w:p>
    <w:p w:rsidR="00452388" w:rsidRDefault="00452388" w:rsidP="00452388">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2.《上海市民防条例》（1996年6月1日上海市第十一届人民代表大会常务委员会第十次会议通过 根据2018年12月20日上海市第十五届人民代表大会常务委员会第八次会议《关于修改</w:t>
      </w:r>
      <w:r>
        <w:rPr>
          <w:rFonts w:ascii="仿宋" w:eastAsia="仿宋" w:hAnsi="仿宋" w:cs="仿宋" w:hint="eastAsia"/>
          <w:kern w:val="0"/>
          <w:sz w:val="32"/>
          <w:szCs w:val="32"/>
        </w:rPr>
        <w:t>&lt;上海市供水管理条例&gt;等9件地方性法规</w:t>
      </w:r>
      <w:r>
        <w:rPr>
          <w:rFonts w:ascii="仿宋_GB2312" w:eastAsia="仿宋_GB2312" w:hAnsi="仿宋_GB2312" w:cs="仿宋_GB2312" w:hint="eastAsia"/>
          <w:kern w:val="0"/>
          <w:sz w:val="32"/>
          <w:szCs w:val="32"/>
        </w:rPr>
        <w:t>的决定》第三次修正）</w:t>
      </w:r>
    </w:p>
    <w:p w:rsidR="00452388" w:rsidRDefault="00452388" w:rsidP="00452388">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3.《上海市民防工程建设和使用管理办法》（2002年12月</w:t>
      </w:r>
      <w:r>
        <w:rPr>
          <w:rFonts w:ascii="仿宋_GB2312" w:eastAsia="仿宋_GB2312" w:hAnsi="仿宋_GB2312" w:cs="仿宋_GB2312" w:hint="eastAsia"/>
          <w:kern w:val="0"/>
          <w:sz w:val="32"/>
          <w:szCs w:val="32"/>
        </w:rPr>
        <w:lastRenderedPageBreak/>
        <w:t>18日上海市人民政府令第129号发布 根据2018年12月7日上海市人民政府令第15号公布的《上海市人民政府关于修改</w:t>
      </w:r>
      <w:r>
        <w:rPr>
          <w:rFonts w:ascii="仿宋" w:eastAsia="仿宋" w:hAnsi="仿宋" w:cs="仿宋" w:hint="eastAsia"/>
          <w:kern w:val="0"/>
          <w:sz w:val="32"/>
          <w:szCs w:val="32"/>
        </w:rPr>
        <w:t>&lt;</w:t>
      </w:r>
      <w:r>
        <w:rPr>
          <w:rFonts w:ascii="仿宋_GB2312" w:eastAsia="仿宋_GB2312" w:hAnsi="仿宋_GB2312" w:cs="仿宋_GB2312" w:hint="eastAsia"/>
          <w:kern w:val="0"/>
          <w:sz w:val="32"/>
          <w:szCs w:val="32"/>
        </w:rPr>
        <w:t>上海市民防工程建设和使用管理办法</w:t>
      </w:r>
      <w:r>
        <w:rPr>
          <w:rFonts w:ascii="仿宋" w:eastAsia="仿宋" w:hAnsi="仿宋" w:cs="仿宋" w:hint="eastAsia"/>
          <w:kern w:val="0"/>
          <w:sz w:val="32"/>
          <w:szCs w:val="32"/>
        </w:rPr>
        <w:t>&gt;等5件市政府规章</w:t>
      </w:r>
      <w:r>
        <w:rPr>
          <w:rFonts w:ascii="仿宋_GB2312" w:eastAsia="仿宋_GB2312" w:hAnsi="仿宋_GB2312" w:cs="仿宋_GB2312" w:hint="eastAsia"/>
          <w:kern w:val="0"/>
          <w:sz w:val="32"/>
          <w:szCs w:val="32"/>
        </w:rPr>
        <w:t>的决定》修正并重新公布）</w:t>
      </w:r>
    </w:p>
    <w:p w:rsidR="00452388" w:rsidRDefault="00452388" w:rsidP="00452388">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4.《城市综合管廊工程技术规范》</w:t>
      </w:r>
      <w:r>
        <w:rPr>
          <w:rFonts w:ascii="仿宋_GB2312" w:eastAsia="仿宋_GB2312" w:hAnsi="仿宋_GB2312" w:cs="仿宋_GB2312" w:hint="eastAsia"/>
          <w:sz w:val="32"/>
          <w:szCs w:val="32"/>
        </w:rPr>
        <w:t>（GB50838-2015）</w:t>
      </w:r>
    </w:p>
    <w:p w:rsidR="00452388" w:rsidRDefault="00452388" w:rsidP="00452388">
      <w:pPr>
        <w:spacing w:line="60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三、适用范围</w:t>
      </w:r>
    </w:p>
    <w:p w:rsidR="00452388" w:rsidRDefault="00452388" w:rsidP="00452388">
      <w:pPr>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适用于本市行政区域范围内新建、改（扩）建明挖顺作法，以及盾构等暗挖法施工的城市地下综合管廊工程兼顾人防防护要求的设计。不适用于</w:t>
      </w:r>
      <w:proofErr w:type="gramStart"/>
      <w:r>
        <w:rPr>
          <w:rFonts w:ascii="仿宋_GB2312" w:eastAsia="仿宋_GB2312" w:hAnsi="仿宋_GB2312" w:cs="仿宋_GB2312" w:hint="eastAsia"/>
          <w:kern w:val="0"/>
          <w:sz w:val="32"/>
          <w:szCs w:val="32"/>
        </w:rPr>
        <w:t>明挖顺作的</w:t>
      </w:r>
      <w:proofErr w:type="gramEnd"/>
      <w:r>
        <w:rPr>
          <w:rFonts w:ascii="仿宋_GB2312" w:eastAsia="仿宋_GB2312" w:hAnsi="仿宋_GB2312" w:cs="仿宋_GB2312" w:hint="eastAsia"/>
          <w:kern w:val="0"/>
          <w:sz w:val="32"/>
          <w:szCs w:val="32"/>
        </w:rPr>
        <w:t>预制装配式结构城市地下综合管廊和缆线管廊工程。</w:t>
      </w:r>
    </w:p>
    <w:p w:rsidR="00452388" w:rsidRDefault="00452388" w:rsidP="00452388">
      <w:pPr>
        <w:ind w:firstLineChars="200" w:firstLine="640"/>
        <w:contextualSpacing/>
        <w:rPr>
          <w:rFonts w:ascii="黑体" w:eastAsia="黑体" w:hAnsi="黑体" w:cs="黑体" w:hint="eastAsia"/>
          <w:bCs/>
          <w:sz w:val="32"/>
          <w:szCs w:val="32"/>
        </w:rPr>
      </w:pPr>
      <w:r>
        <w:rPr>
          <w:rFonts w:ascii="黑体" w:eastAsia="黑体" w:hAnsi="黑体" w:cs="黑体" w:hint="eastAsia"/>
          <w:bCs/>
          <w:sz w:val="32"/>
          <w:szCs w:val="32"/>
        </w:rPr>
        <w:t>四、主要条款说明</w:t>
      </w:r>
    </w:p>
    <w:p w:rsidR="00452388" w:rsidRDefault="00452388" w:rsidP="00452388">
      <w:pPr>
        <w:widowControl/>
        <w:ind w:firstLine="600"/>
        <w:jc w:val="left"/>
        <w:rPr>
          <w:rFonts w:ascii="仿宋_GB2312" w:eastAsia="仿宋_GB2312" w:hint="eastAsia"/>
          <w:sz w:val="32"/>
          <w:szCs w:val="32"/>
        </w:rPr>
      </w:pPr>
      <w:r>
        <w:rPr>
          <w:rFonts w:ascii="仿宋_GB2312" w:eastAsia="仿宋_GB2312" w:hint="eastAsia"/>
          <w:sz w:val="32"/>
          <w:szCs w:val="32"/>
        </w:rPr>
        <w:t>主要内容共有七部分：</w:t>
      </w:r>
    </w:p>
    <w:p w:rsidR="00452388" w:rsidRDefault="00452388" w:rsidP="00452388">
      <w:pPr>
        <w:widowControl/>
        <w:jc w:val="left"/>
        <w:rPr>
          <w:rFonts w:ascii="仿宋_GB2312" w:eastAsia="仿宋_GB2312"/>
          <w:sz w:val="32"/>
          <w:szCs w:val="32"/>
        </w:rPr>
      </w:pPr>
      <w:r>
        <w:rPr>
          <w:rFonts w:ascii="仿宋_GB2312" w:eastAsia="仿宋_GB2312" w:hint="eastAsia"/>
          <w:sz w:val="32"/>
          <w:szCs w:val="32"/>
        </w:rPr>
        <w:t xml:space="preserve">    1.总则，明确编制目的和实施范围。</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2.术语，对专用语进行解释。</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3.基本规定，对综合管廊防护总体的防护要求进行规定。</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4.建筑，明确建筑专业的防护设计要求。</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5.结构防护，明确结构专业的防护设计要求。</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6.孔口防护，明确逃生、吊装、通风、连通等孔口的防护设计要求。</w:t>
      </w:r>
    </w:p>
    <w:p w:rsidR="00452388" w:rsidRDefault="00452388" w:rsidP="00452388">
      <w:pPr>
        <w:widowControl/>
        <w:ind w:firstLine="640"/>
        <w:jc w:val="left"/>
        <w:rPr>
          <w:rFonts w:ascii="仿宋_GB2312" w:eastAsia="仿宋_GB2312" w:hint="eastAsia"/>
          <w:sz w:val="32"/>
          <w:szCs w:val="32"/>
        </w:rPr>
      </w:pPr>
      <w:r>
        <w:rPr>
          <w:rFonts w:ascii="仿宋_GB2312" w:eastAsia="仿宋_GB2312" w:hint="eastAsia"/>
          <w:sz w:val="32"/>
          <w:szCs w:val="32"/>
        </w:rPr>
        <w:t>7.设备和管线防护，明确设备和管线的防护设计要求。</w:t>
      </w:r>
    </w:p>
    <w:p w:rsidR="00F84D7F" w:rsidRPr="00452388" w:rsidRDefault="00452388"/>
    <w:sectPr w:rsidR="00F84D7F" w:rsidRPr="00452388">
      <w:footerReference w:type="even" r:id="rId4"/>
      <w:footerReference w:type="default" r:id="rId5"/>
      <w:pgSz w:w="11906" w:h="16838"/>
      <w:pgMar w:top="2098" w:right="1474" w:bottom="1985" w:left="1588"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2388">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4523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2388">
    <w:pPr>
      <w:pStyle w:val="a4"/>
      <w:jc w:val="center"/>
    </w:pPr>
    <w:r>
      <w:fldChar w:fldCharType="begin"/>
    </w:r>
    <w:r>
      <w:instrText>PAGE   \* MERGEFORMAT</w:instrText>
    </w:r>
    <w:r>
      <w:fldChar w:fldCharType="separate"/>
    </w:r>
    <w:r w:rsidRPr="00452388">
      <w:rPr>
        <w:noProof/>
        <w:lang w:val="zh-CN"/>
      </w:rPr>
      <w:t>1</w:t>
    </w:r>
    <w:r>
      <w:fldChar w:fldCharType="end"/>
    </w:r>
  </w:p>
  <w:p w:rsidR="00000000" w:rsidRDefault="00452388">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388"/>
    <w:rsid w:val="002B0387"/>
    <w:rsid w:val="00452388"/>
    <w:rsid w:val="00B7341C"/>
    <w:rsid w:val="00F85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52388"/>
    <w:rPr>
      <w:rFonts w:ascii="仿宋_GB2312" w:eastAsia="仿宋_GB2312"/>
      <w:b/>
      <w:sz w:val="32"/>
      <w:szCs w:val="32"/>
    </w:rPr>
  </w:style>
  <w:style w:type="paragraph" w:customStyle="1" w:styleId="CharCharCharChar">
    <w:name w:val=" Char Char Char Char"/>
    <w:basedOn w:val="a"/>
    <w:qFormat/>
    <w:rsid w:val="00452388"/>
    <w:rPr>
      <w:rFonts w:ascii="仿宋_GB2312" w:eastAsia="仿宋_GB2312"/>
      <w:b/>
      <w:sz w:val="32"/>
      <w:szCs w:val="32"/>
    </w:rPr>
  </w:style>
  <w:style w:type="paragraph" w:styleId="a4">
    <w:name w:val="footer"/>
    <w:basedOn w:val="a"/>
    <w:link w:val="Char"/>
    <w:uiPriority w:val="99"/>
    <w:unhideWhenUsed/>
    <w:qFormat/>
    <w:rsid w:val="00452388"/>
    <w:pPr>
      <w:tabs>
        <w:tab w:val="center" w:pos="4153"/>
        <w:tab w:val="right" w:pos="8306"/>
      </w:tabs>
      <w:snapToGrid w:val="0"/>
      <w:jc w:val="left"/>
    </w:pPr>
    <w:rPr>
      <w:sz w:val="18"/>
      <w:szCs w:val="18"/>
    </w:rPr>
  </w:style>
  <w:style w:type="character" w:customStyle="1" w:styleId="Char">
    <w:name w:val="页脚 Char"/>
    <w:basedOn w:val="a0"/>
    <w:link w:val="a4"/>
    <w:uiPriority w:val="99"/>
    <w:rsid w:val="004523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mfwz</dc:creator>
  <cp:lastModifiedBy>mfwz</cp:lastModifiedBy>
  <cp:revision>1</cp:revision>
  <dcterms:created xsi:type="dcterms:W3CDTF">2021-11-03T09:12:00Z</dcterms:created>
  <dcterms:modified xsi:type="dcterms:W3CDTF">2021-11-03T09:12:00Z</dcterms:modified>
</cp:coreProperties>
</file>